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Sub-Processor Change Notification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r>
        <w:t xml:space="preserve">From: Acme Inc</w:t>
      </w:r>
    </w:p>
    <w:p>
      <w:r>
        <w:t xml:space="preserve">Date: 2026-03-19</w:t>
      </w:r>
    </w:p>
    <w:p>
      <w:r>
        <w:t xml:space="preserve">Subject: Notice of Sub-Processor Change</w:t>
      </w:r>
    </w:p>
    <w:p>
      <w:pPr>
        <w:pStyle w:val="Heading2"/>
      </w:pPr>
      <w:r>
        <w:t>Related Documents</w:t>
      </w:r>
    </w:p>
    <w:p>
      <w:pPr>
        <w:pStyle w:val="ListParagraph"/>
        <w:numPr>
          <w:ilvl w:val="0"/>
          <w:numId w:val="1"/>
        </w:numPr>
      </w:pPr>
      <w:r>
        <w:t xml:space="preserve">Sub-Processor List (`SUBPROCESSOR_LIST.md`)</w:t>
      </w:r>
    </w:p>
    <w:p>
      <w:pPr>
        <w:pStyle w:val="ListParagraph"/>
        <w:numPr>
          <w:ilvl w:val="0"/>
          <w:numId w:val="1"/>
        </w:numPr>
      </w:pPr>
      <w:r>
        <w:t xml:space="preserve">Data Processing Agreement (`DATA_PROCESSING_AGREEMENT.md`)</w:t>
      </w:r>
    </w:p>
    <w:p>
      <w:pPr>
        <w:pStyle w:val="ListParagraph"/>
        <w:numPr>
          <w:ilvl w:val="0"/>
          <w:numId w:val="1"/>
        </w:numPr>
      </w:pPr>
      <w:r>
        <w:t xml:space="preserve">Third-Party Risk Assessment (`THIRD_PARTY_RISK_ASSESSMENT.md`)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1. Purpose of This Notice</w:t>
      </w:r>
    </w:p>
    <w:p>
      <w:r>
        <w:t xml:space="preserve">In accordance with our Data Processing Agreement (DPA) and applicable data protection regulations (including GDPR Article 28), Acme Inc is providing this notice regarding changes to the sub-processors used in connection with our services.</w:t>
      </w:r>
    </w:p>
    <w:p>
      <w:r>
        <w:t xml:space="preserve">This notification is sent to all customers and data controllers who have entered into a DPA with us, as required under our contractual obligations.</w:t>
      </w:r>
    </w:p>
    <w:p>
      <w:pPr>
        <w:pStyle w:val="Heading2"/>
      </w:pPr>
      <w:r>
        <w:t>2. Sub-Processor Change Details</w:t>
      </w:r>
    </w:p>
    <w:p>
      <w:pPr>
        <w:pStyle w:val="Heading3"/>
      </w:pPr>
      <w:r>
        <w:t>New Sub-Processor(s)</w:t>
      </w:r>
    </w:p>
    <w:p>
      <w:r>
        <w:rPr>
          <w:sz w:val="20"/>
        </w:rPr>
        <w:t xml:space="preserve">Field  |  Details</w:t>
      </w:r>
    </w:p>
    <w:p>
      <w:r>
        <w:rPr>
          <w:sz w:val="20"/>
        </w:rPr>
        <w:t xml:space="preserve">**Sub-Processor Name**  |  [New Sub-Processor Name]</w:t>
      </w:r>
    </w:p>
    <w:p>
      <w:r>
        <w:rPr>
          <w:sz w:val="20"/>
        </w:rPr>
        <w:t xml:space="preserve">**Purpose of Processing**  |  [Description of processing activities]</w:t>
      </w:r>
    </w:p>
    <w:p>
      <w:r>
        <w:rPr>
          <w:sz w:val="20"/>
        </w:rPr>
        <w:t xml:space="preserve">**Data Processed**  |  [Types of personal data processed]</w:t>
      </w:r>
    </w:p>
    <w:p>
      <w:r>
        <w:rPr>
          <w:sz w:val="20"/>
        </w:rPr>
        <w:t xml:space="preserve">**Location**  |  [Country/Region]</w:t>
      </w:r>
    </w:p>
    <w:p>
      <w:r>
        <w:rPr>
          <w:sz w:val="20"/>
        </w:rPr>
        <w:t xml:space="preserve">**Transfer Mechanism**  |  [SCCs / Adequacy Decision / BCRs]</w:t>
      </w:r>
    </w:p>
    <w:p>
      <w:r>
        <w:rPr>
          <w:sz w:val="20"/>
        </w:rPr>
        <w:t xml:space="preserve">**DPA Status**  |  [Signed / Pending]</w:t>
      </w:r>
    </w:p>
    <w:p>
      <w:r>
        <w:rPr>
          <w:sz w:val="20"/>
        </w:rPr>
        <w:t xml:space="preserve">**Effective Date**  |  [Date when processing will begin]</w:t>
      </w:r>
    </w:p>
    <w:p>
      <w:pPr>
        <w:pStyle w:val="Heading3"/>
      </w:pPr>
      <w:r>
        <w:t>Removed Sub-Processor(s)</w:t>
      </w:r>
    </w:p>
    <w:p>
      <w:r>
        <w:rPr>
          <w:sz w:val="20"/>
        </w:rPr>
        <w:t xml:space="preserve">Field  |  Details</w:t>
      </w:r>
    </w:p>
    <w:p>
      <w:r>
        <w:rPr>
          <w:sz w:val="20"/>
        </w:rPr>
        <w:t xml:space="preserve">**Sub-Processor Name**  |  [Removed Sub-Processor Name]</w:t>
      </w:r>
    </w:p>
    <w:p>
      <w:r>
        <w:rPr>
          <w:sz w:val="20"/>
        </w:rPr>
        <w:t xml:space="preserve">**Reason for Removal**  |  [Contract expiry / Replacement / Service change]</w:t>
      </w:r>
    </w:p>
    <w:p>
      <w:r>
        <w:rPr>
          <w:sz w:val="20"/>
        </w:rPr>
        <w:t xml:space="preserve">**Data Deletion Date**  |  [Date when data will be deleted/returned]</w:t>
      </w:r>
    </w:p>
    <w:p>
      <w:r>
        <w:rPr>
          <w:sz w:val="20"/>
        </w:rPr>
        <w:t xml:space="preserve">**Effective Date**  |  [Date when processing ceased]</w:t>
      </w:r>
    </w:p>
    <w:p>
      <w:pPr>
        <w:pStyle w:val="Heading3"/>
      </w:pPr>
      <w:r>
        <w:t>Replaced Sub-Processor(s)</w:t>
      </w:r>
    </w:p>
    <w:p>
      <w:r>
        <w:rPr>
          <w:sz w:val="20"/>
        </w:rPr>
        <w:t xml:space="preserve">Field  |  Details</w:t>
      </w:r>
    </w:p>
    <w:p>
      <w:r>
        <w:rPr>
          <w:sz w:val="20"/>
        </w:rPr>
        <w:t xml:space="preserve">**Previous Sub-Processor**  |  [Name]</w:t>
      </w:r>
    </w:p>
    <w:p>
      <w:r>
        <w:rPr>
          <w:sz w:val="20"/>
        </w:rPr>
        <w:t xml:space="preserve">**New Sub-Processor**  |  [Name]</w:t>
      </w:r>
    </w:p>
    <w:p>
      <w:r>
        <w:rPr>
          <w:sz w:val="20"/>
        </w:rPr>
        <w:t xml:space="preserve">**Reason for Replacement**  |  [Better security / Cost / Feature requirements]</w:t>
      </w:r>
    </w:p>
    <w:p>
      <w:r>
        <w:rPr>
          <w:sz w:val="20"/>
        </w:rPr>
        <w:t xml:space="preserve">**Data Migration Plan**  |  [How data will be transferred]</w:t>
      </w:r>
    </w:p>
    <w:p>
      <w:r>
        <w:rPr>
          <w:sz w:val="20"/>
        </w:rPr>
        <w:t xml:space="preserve">**Effective Date**  |  [Date of switchover]</w:t>
      </w:r>
    </w:p>
    <w:p>
      <w:pPr>
        <w:pStyle w:val="Heading2"/>
      </w:pPr>
      <w:r>
        <w:t>3. Current Sub-Processor List</w:t>
      </w:r>
    </w:p>
    <w:p>
      <w:r>
        <w:t xml:space="preserve">For reference, the following sub-processors are currently engaged:</w:t>
      </w:r>
    </w:p>
    <w:p>
      <w:r>
        <w:rPr>
          <w:sz w:val="20"/>
        </w:rPr>
        <w:t xml:space="preserve">Sub-Processor  |  Purpose  |  Data Processed</w:t>
      </w:r>
    </w:p>
    <w:p>
      <w:r>
        <w:rPr>
          <w:sz w:val="20"/>
        </w:rPr>
        <w:t xml:space="preserve">Sentry  |  Error tracking and performance monitoring  |  error data, stack traces, user context, device information, IP address</w:t>
      </w:r>
    </w:p>
    <w:p>
      <w:r>
        <w:rPr>
          <w:sz w:val="20"/>
        </w:rPr>
        <w:t xml:space="preserve">Supabase  |  User authentication and identity management  |  email, password hash, session data, user metadata</w:t>
      </w:r>
    </w:p>
    <w:p>
      <w:r>
        <w:rPr>
          <w:sz w:val="20"/>
        </w:rPr>
        <w:t xml:space="preserve">OpenAI  |  AI processing and content generation  |  user prompts, conversation history, generated content</w:t>
      </w:r>
    </w:p>
    <w:p>
      <w:r>
        <w:rPr>
          <w:sz w:val="20"/>
        </w:rPr>
        <w:t xml:space="preserve">PostHog  |  Product analytics and usage tracking  |  user behavior, session recordings, feature flag usage, device information</w:t>
      </w:r>
    </w:p>
    <w:p>
      <w:r>
        <w:rPr>
          <w:sz w:val="20"/>
        </w:rPr>
        <w:t xml:space="preserve">Resend  |  Transactional and marketing email delivery  |  email addresses, email content</w:t>
      </w:r>
    </w:p>
    <w:p>
      <w:r>
        <w:rPr>
          <w:sz w:val="20"/>
        </w:rPr>
        <w:t xml:space="preserve">Stripe  |  Payment processing and billing  |  payment information, billing address, email, transaction history</w:t>
      </w:r>
    </w:p>
    <w:p>
      <w:r>
        <w:rPr>
          <w:sz w:val="20"/>
        </w:rPr>
        <w:t xml:space="preserve">stripe-ios  |  Payment processing and billing  |  payment information, billing address, email, transaction history</w:t>
      </w:r>
    </w:p>
    <w:p>
      <w:r>
        <w:t xml:space="preserve">The complete and up-to-date sub-processor list is maintained at https://acme-saas.com/legal/sub-processors (or in the `SUBPROCESSOR_LIST.md` document).</w:t>
      </w:r>
    </w:p>
    <w:p>
      <w:pPr>
        <w:pStyle w:val="Heading2"/>
      </w:pPr>
      <w:r>
        <w:t>4. Due Diligence Undertaken</w:t>
      </w:r>
    </w:p>
    <w:p>
      <w:r>
        <w:t xml:space="preserve">Before engaging any new sub-processor, Acme Inc conducts the following assessments:</w:t>
      </w:r>
    </w:p>
    <w:p>
      <w:pPr>
        <w:pStyle w:val="ListParagraph"/>
        <w:numPr>
          <w:ilvl w:val="0"/>
          <w:numId w:val="1"/>
        </w:numPr>
      </w:pPr>
      <w:r>
        <w:t xml:space="preserve">**Security Assessment** — Review of the sub-processor's security measures, certifications (SOC 2, ISO 27001), and incident response capabilities</w:t>
      </w:r>
    </w:p>
    <w:p>
      <w:pPr>
        <w:pStyle w:val="ListParagraph"/>
        <w:numPr>
          <w:ilvl w:val="0"/>
          <w:numId w:val="1"/>
        </w:numPr>
      </w:pPr>
      <w:r>
        <w:t xml:space="preserve">**Privacy Assessment** — Review of data processing practices, privacy policy, and DPA terms</w:t>
      </w:r>
    </w:p>
    <w:p>
      <w:pPr>
        <w:pStyle w:val="ListParagraph"/>
        <w:numPr>
          <w:ilvl w:val="0"/>
          <w:numId w:val="1"/>
        </w:numPr>
      </w:pPr>
      <w:r>
        <w:t xml:space="preserve">**Legal Assessment** — Evaluation of applicable law, transfer mechanisms, and regulatory compliance</w:t>
      </w:r>
    </w:p>
    <w:p>
      <w:pPr>
        <w:pStyle w:val="ListParagraph"/>
        <w:numPr>
          <w:ilvl w:val="0"/>
          <w:numId w:val="1"/>
        </w:numPr>
      </w:pPr>
      <w:r>
        <w:t xml:space="preserve">**Contractual Safeguards** — Execution of a Data Processing Agreement with Standard Contractual Clauses where required</w:t>
      </w:r>
    </w:p>
    <w:p>
      <w:pPr>
        <w:pStyle w:val="Heading2"/>
      </w:pPr>
      <w:r>
        <w:t>5. Your Right to Object</w:t>
      </w:r>
    </w:p>
    <w:p>
      <w:r>
        <w:t xml:space="preserve">In accordance with our DPA, you have the right to object to the appointment of a new sub-processor. To exercise this right:</w:t>
      </w:r>
    </w:p>
    <w:p>
      <w:pPr>
        <w:pStyle w:val="ListParagraph"/>
        <w:numPr>
          <w:ilvl w:val="0"/>
          <w:numId w:val="2"/>
        </w:numPr>
      </w:pPr>
      <w:r>
        <w:t xml:space="preserve">**Objection Period:** You have **30 days** from the date of this notification to raise an objection.</w:t>
      </w:r>
    </w:p>
    <w:p>
      <w:pPr>
        <w:pStyle w:val="ListParagraph"/>
        <w:numPr>
          <w:ilvl w:val="0"/>
          <w:numId w:val="2"/>
        </w:numPr>
      </w:pPr>
      <w:r>
        <w:t xml:space="preserve">**How to Object:** Send your objection in writing to dpo@acme-saas.com with:</w:t>
      </w:r>
    </w:p>
    <w:p>
      <w:r>
        <w:t xml:space="preserve">   - Your company name and DPA reference number</w:t>
      </w:r>
    </w:p>
    <w:p>
      <w:r>
        <w:t xml:space="preserve">   - The specific sub-processor you are objecting to</w:t>
      </w:r>
    </w:p>
    <w:p>
      <w:r>
        <w:t xml:space="preserve">   - The grounds for your objection</w:t>
      </w:r>
    </w:p>
    <w:p>
      <w:pPr>
        <w:pStyle w:val="ListParagraph"/>
        <w:numPr>
          <w:ilvl w:val="0"/>
          <w:numId w:val="2"/>
        </w:numPr>
      </w:pPr>
      <w:r>
        <w:t xml:space="preserve">**Resolution Process:**</w:t>
      </w:r>
    </w:p>
    <w:p>
      <w:r>
        <w:t xml:space="preserve">   - Acme Inc will acknowledge your objection within 5 business days</w:t>
      </w:r>
    </w:p>
    <w:p>
      <w:r>
        <w:t xml:space="preserve">   - We will work with you in good faith to find a reasonable resolution</w:t>
      </w:r>
    </w:p>
    <w:p>
      <w:r>
        <w:t xml:space="preserve">   - If no resolution can be reached, either party may terminate the affected services in accordance with the DPA</w:t>
      </w:r>
    </w:p>
    <w:p>
      <w:r>
        <w:t xml:space="preserve">If no objection is received within the objection period, the sub-processor change will proceed as described above.</w:t>
      </w:r>
    </w:p>
    <w:p>
      <w:pPr>
        <w:pStyle w:val="Heading2"/>
      </w:pPr>
      <w:r>
        <w:t>6. Impact on Data Protection</w:t>
      </w:r>
    </w:p>
    <w:p>
      <w:r>
        <w:t xml:space="preserve">Acme Inc confirms that this sub-processor change:</w:t>
      </w:r>
    </w:p>
    <w:p>
      <w:pPr>
        <w:pStyle w:val="ListParagraph"/>
        <w:numPr>
          <w:ilvl w:val="0"/>
          <w:numId w:val="1"/>
        </w:numPr>
      </w:pPr>
      <w:r>
        <w:t xml:space="preserve">[ ] Does not reduce the overall level of data protection provided under the DPA</w:t>
      </w:r>
    </w:p>
    <w:p>
      <w:pPr>
        <w:pStyle w:val="ListParagraph"/>
        <w:numPr>
          <w:ilvl w:val="0"/>
          <w:numId w:val="1"/>
        </w:numPr>
      </w:pPr>
      <w:r>
        <w:t xml:space="preserve">[ ] Maintains equivalent or stronger security measures</w:t>
      </w:r>
    </w:p>
    <w:p>
      <w:pPr>
        <w:pStyle w:val="ListParagraph"/>
        <w:numPr>
          <w:ilvl w:val="0"/>
          <w:numId w:val="1"/>
        </w:numPr>
      </w:pPr>
      <w:r>
        <w:t xml:space="preserve">[ ] Does not change the categories of personal data processed</w:t>
      </w:r>
    </w:p>
    <w:p>
      <w:pPr>
        <w:pStyle w:val="ListParagraph"/>
        <w:numPr>
          <w:ilvl w:val="0"/>
          <w:numId w:val="1"/>
        </w:numPr>
      </w:pPr>
      <w:r>
        <w:t xml:space="preserve">[ ] Does not extend data processing to new jurisdictions without appropriate safeguards</w:t>
      </w:r>
    </w:p>
    <w:p>
      <w:pPr>
        <w:pStyle w:val="ListParagraph"/>
        <w:numPr>
          <w:ilvl w:val="0"/>
          <w:numId w:val="1"/>
        </w:numPr>
      </w:pPr>
      <w:r>
        <w:t xml:space="preserve">[ ] Includes appropriate contractual protections (DPA/SCCs)</w:t>
      </w:r>
    </w:p>
    <w:p>
      <w:pPr>
        <w:pStyle w:val="Heading2"/>
      </w:pPr>
      <w:r>
        <w:t>7. Contact Information</w:t>
      </w:r>
    </w:p>
    <w:p>
      <w:r>
        <w:t xml:space="preserve">For questions about this sub-processor change notification:</w:t>
      </w:r>
    </w:p>
    <w:p>
      <w:pPr>
        <w:pStyle w:val="ListParagraph"/>
        <w:numPr>
          <w:ilvl w:val="0"/>
          <w:numId w:val="1"/>
        </w:numPr>
      </w:pPr>
      <w:r>
        <w:t xml:space="preserve">**Privacy/DPO Contact:** dpo@acme-saas.com</w:t>
      </w:r>
    </w:p>
    <w:p>
      <w:pPr>
        <w:pStyle w:val="ListParagraph"/>
        <w:numPr>
          <w:ilvl w:val="0"/>
          <w:numId w:val="1"/>
        </w:numPr>
      </w:pPr>
      <w:r>
        <w:t xml:space="preserve">**General Contact:** legal@acme.com</w:t>
      </w:r>
    </w:p>
    <w:p>
      <w:pPr>
        <w:pStyle w:val="ListParagraph"/>
        <w:numPr>
          <w:ilvl w:val="0"/>
          <w:numId w:val="1"/>
        </w:numPr>
      </w:pPr>
      <w:r>
        <w:t xml:space="preserve">**Sub-Processor List:** https://acme-saas.com/legal/sub-processors</w:t>
      </w:r>
    </w:p>
    <w:p>
      <w:pPr>
        <w:pBdr>
          <w:bottom w:val="single" w:sz="6" w:space="1" w:color="999999"/>
        </w:pBdr>
      </w:pPr>
    </w:p>
    <w:p>
      <w:r>
        <w:t xml:space="preserve">This Sub-Processor Change Notification template was auto-generated by [Codepliant](https://github.com/joechensmartz/codepliant) based on code analysis. Complete the bracketed fields before sending to customers. Review with legal counsel to ensure compliance with your specific DPA obligations.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